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/>
      </w:tblPr>
      <w:tblGrid>
        <w:gridCol w:w="14601"/>
      </w:tblGrid>
      <w:tr w:rsidR="007A1D28" w:rsidRPr="009B0208" w:rsidTr="00773273">
        <w:tc>
          <w:tcPr>
            <w:tcW w:w="14601" w:type="dxa"/>
            <w:shd w:val="clear" w:color="auto" w:fill="A6A6A6" w:themeFill="background1" w:themeFillShade="A6"/>
          </w:tcPr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2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/>
      </w:tblPr>
      <w:tblGrid>
        <w:gridCol w:w="5638"/>
        <w:gridCol w:w="9072"/>
      </w:tblGrid>
      <w:tr w:rsidR="00856D01" w:rsidRPr="009B0208" w:rsidTr="00E649C9">
        <w:trPr>
          <w:cnfStyle w:val="100000000000"/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Investície do doplnkovej infraštruktúry -  chránené parkoviská pre bicykle, cyklostojany, nabíjacie stanice pre elektrobicykle, odpočívadlá,</w:t>
            </w:r>
          </w:p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B334B" w:rsidRPr="009B0208" w:rsidTr="008B334B">
        <w:trPr>
          <w:trHeight w:val="354"/>
        </w:trPr>
        <w:tc>
          <w:tcPr>
            <w:cnfStyle w:val="00100000000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cnfStyle w:val="00000000000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1452DC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výdavky na obstaranie softvéru vrátane výdavkov na obstaranie licencií súvisiacich s používaním softvéru - napr. riadiaci softvér pre nabíjacie elektrostanice, softvér pre riadenie cyklopremávky a pod.</w:t>
            </w:r>
            <w:r w:rsidR="00B73919"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:rsidR="00856D01" w:rsidRPr="001452DC" w:rsidRDefault="00856D01" w:rsidP="005A67D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5A67D1"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nabíjacie elektrostanice, pre softvér na riadenie cyklopremávky a pod</w:t>
            </w: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  <w:r w:rsidR="00B73919"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:rsidR="005A67D1" w:rsidRPr="009B0208" w:rsidRDefault="005A67D1" w:rsidP="005265E1">
            <w:pPr>
              <w:pStyle w:val="Default"/>
              <w:widowControl w:val="0"/>
              <w:ind w:left="720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5A67D1" w:rsidRPr="009B0208" w:rsidRDefault="005A67D1" w:rsidP="005265E1">
            <w:pPr>
              <w:pStyle w:val="Default"/>
              <w:widowControl w:val="0"/>
              <w:ind w:left="714"/>
              <w:jc w:val="both"/>
              <w:cnfStyle w:val="00000000000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cyklistických komunikácií, cyklokoridorov (samostatná cyklistická cestička, samostatný cyklistický pruh, cyklokoridor, spoločná cestička pre chodcov a cyklistov),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doplnkovej cyklistickej infraštruktúry (chránené parkoviská pre bicykle (kryté stojany, automatické parkovacie systémy, a pod.), cyklostojany, nabíjacie stanice pre elektrobicykle (ako zabudované stroje, prístroje a zariadenia, ktoré sú súčasťou stavby), hygienické zariadenia, cyklistické odpočívadlo a pod.),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</w:t>
            </w: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.), sadových úprav a zelene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 zariadenia,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komunikačná infraštruktúra(napr. v súvislosti s (audio)vizuálnym monitorovaním cyklochodníkov, cyklokoridorov a cyklistických komunikácií, v súvislosti s nabíjacími stanicami pre elektrobicykle, so systémami automatickej požičovne bicyklov a pod.)</w:t>
            </w:r>
          </w:p>
        </w:tc>
      </w:tr>
      <w:tr w:rsidR="00856D01" w:rsidRPr="009B0208" w:rsidTr="00E649C9">
        <w:trPr>
          <w:trHeight w:val="354"/>
        </w:trPr>
        <w:tc>
          <w:tcPr>
            <w:cnfStyle w:val="00100000000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 zariadenia,</w:t>
            </w:r>
          </w:p>
          <w:p w:rsidR="00856D01" w:rsidRPr="001452DC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infraštruktúra(napr. v súvislosti s (audio)vizuálnym monitorovaním cyklochodníkov, cyklokoridorov a cyklistických komunikácií, v súvislosti s nabíjacími stanicami pre elektrobicykle, so systémami automatickej požičovne bicyklov a pod.)</w:t>
            </w:r>
          </w:p>
        </w:tc>
      </w:tr>
      <w:tr w:rsidR="00856D01" w:rsidRPr="009B0208" w:rsidTr="00E649C9">
        <w:trPr>
          <w:trHeight w:val="81"/>
        </w:trPr>
        <w:tc>
          <w:tcPr>
            <w:cnfStyle w:val="00100000000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1452DC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:rsidR="00856D01" w:rsidRPr="001452DC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:rsidR="00856D01" w:rsidRPr="001452DC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– nemotorové vozidlá pohybujúce sa pomocou ľudskej sily nožným odrážaním, ktoré sú ovládané kolobežkárom pomocou riadidiel tak, že sedí na sedadle kolobežky alebo stojí a drží sa riadidiel,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1452D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A6A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FFA2" w16cid:durableId="21EEB771"/>
  <w16cid:commentId w16cid:paraId="427A6AE6" w16cid:durableId="1FE5E3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74" w:rsidRDefault="004F4874" w:rsidP="007900C1">
      <w:r>
        <w:separator/>
      </w:r>
    </w:p>
  </w:endnote>
  <w:endnote w:type="continuationSeparator" w:id="1">
    <w:p w:rsidR="004F4874" w:rsidRDefault="004F4874" w:rsidP="0079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74" w:rsidRDefault="004F4874" w:rsidP="007900C1">
      <w:r>
        <w:separator/>
      </w:r>
    </w:p>
  </w:footnote>
  <w:footnote w:type="continuationSeparator" w:id="1">
    <w:p w:rsidR="004F4874" w:rsidRDefault="004F4874" w:rsidP="007900C1">
      <w:r>
        <w:continuationSeparator/>
      </w:r>
    </w:p>
  </w:footnote>
  <w:footnote w:id="2">
    <w:p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:rsidR="00DB2968" w:rsidRDefault="00DB2968" w:rsidP="00437D96">
    <w:pPr>
      <w:pStyle w:val="Hlavika"/>
      <w:tabs>
        <w:tab w:val="right" w:pos="14004"/>
      </w:tabs>
    </w:pPr>
  </w:p>
  <w:p w:rsidR="00DB2968" w:rsidRDefault="00DB2968" w:rsidP="00437D96">
    <w:pPr>
      <w:pStyle w:val="Hlavika"/>
      <w:tabs>
        <w:tab w:val="right" w:pos="14004"/>
      </w:tabs>
    </w:pPr>
  </w:p>
  <w:p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8" w:rsidRDefault="00DB2968" w:rsidP="00437D96">
    <w:pPr>
      <w:pStyle w:val="Hlavika"/>
      <w:tabs>
        <w:tab w:val="right" w:pos="14004"/>
      </w:tabs>
    </w:pPr>
  </w:p>
  <w:p w:rsidR="00DB2968" w:rsidRDefault="00DB2968" w:rsidP="00437D96">
    <w:pPr>
      <w:pStyle w:val="Hlavika"/>
      <w:tabs>
        <w:tab w:val="right" w:pos="14004"/>
      </w:tabs>
    </w:pPr>
  </w:p>
  <w:p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452DC"/>
    <w:rsid w:val="001663AC"/>
    <w:rsid w:val="001770B0"/>
    <w:rsid w:val="001A66A4"/>
    <w:rsid w:val="001B4D56"/>
    <w:rsid w:val="001C297B"/>
    <w:rsid w:val="001F08C9"/>
    <w:rsid w:val="001F68FC"/>
    <w:rsid w:val="00203C57"/>
    <w:rsid w:val="00222486"/>
    <w:rsid w:val="00224D63"/>
    <w:rsid w:val="00227395"/>
    <w:rsid w:val="00230896"/>
    <w:rsid w:val="00256CA0"/>
    <w:rsid w:val="00266D4D"/>
    <w:rsid w:val="00273E3B"/>
    <w:rsid w:val="00286B67"/>
    <w:rsid w:val="00290A29"/>
    <w:rsid w:val="002A4B1F"/>
    <w:rsid w:val="002B62B5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76D47"/>
    <w:rsid w:val="004A07A8"/>
    <w:rsid w:val="004A17A5"/>
    <w:rsid w:val="004A704B"/>
    <w:rsid w:val="004B5802"/>
    <w:rsid w:val="004B763F"/>
    <w:rsid w:val="004B7E79"/>
    <w:rsid w:val="004C49AD"/>
    <w:rsid w:val="004F4874"/>
    <w:rsid w:val="00506ED7"/>
    <w:rsid w:val="00507295"/>
    <w:rsid w:val="005265E1"/>
    <w:rsid w:val="00545CDC"/>
    <w:rsid w:val="005A67D1"/>
    <w:rsid w:val="005A7193"/>
    <w:rsid w:val="005E412A"/>
    <w:rsid w:val="005F2025"/>
    <w:rsid w:val="00650D3B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91E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27E47"/>
    <w:rsid w:val="00A47C5B"/>
    <w:rsid w:val="00A66A72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B1D18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ED258D"/>
    <w:rsid w:val="00F050EA"/>
    <w:rsid w:val="00F22F0E"/>
    <w:rsid w:val="00F246B5"/>
    <w:rsid w:val="00F64483"/>
    <w:rsid w:val="00F64E2F"/>
    <w:rsid w:val="00F64F65"/>
    <w:rsid w:val="00FA1257"/>
    <w:rsid w:val="00FC15DC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2021-09-07T13:45:00Z</dcterms:modified>
</cp:coreProperties>
</file>